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 xml:space="preserve">3GPP TSG-RAN WG2 Meeting #119-e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R2-220</w:t>
      </w:r>
      <w:r>
        <w:rPr>
          <w:rFonts w:hint="eastAsia" w:ascii="Arial" w:hAnsi="Arial" w:eastAsia="宋体" w:cs="Arial"/>
          <w:b/>
          <w:kern w:val="0"/>
          <w:sz w:val="22"/>
          <w:lang w:val="en-US" w:eastAsia="zh-CN"/>
        </w:rPr>
        <w:t>8451</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17 – 29 August,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4</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NR-DC with selective activation cell of groups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NR_Mob_enh2-Core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RAN#94</w:t>
      </w:r>
      <w:r>
        <w:rPr>
          <w:rFonts w:hint="eastAsia" w:ascii="Arial" w:hAnsi="Arial" w:eastAsia="宋体" w:cs="Arial"/>
          <w:kern w:val="0"/>
          <w:sz w:val="20"/>
          <w:szCs w:val="20"/>
          <w:lang w:val="en-GB"/>
        </w:rPr>
        <w:t>-e</w:t>
      </w:r>
      <w:r>
        <w:rPr>
          <w:rFonts w:ascii="Arial" w:hAnsi="Arial" w:eastAsia="宋体" w:cs="Arial"/>
          <w:kern w:val="0"/>
          <w:sz w:val="20"/>
          <w:szCs w:val="20"/>
          <w:lang w:val="en-GB" w:eastAsia="en-US"/>
        </w:rPr>
        <w:t xml:space="preserve">, a new </w:t>
      </w:r>
      <w:r>
        <w:rPr>
          <w:rFonts w:hint="eastAsia" w:ascii="Arial" w:hAnsi="Arial" w:eastAsia="宋体" w:cs="Arial"/>
          <w:kern w:val="0"/>
          <w:sz w:val="20"/>
          <w:szCs w:val="20"/>
        </w:rPr>
        <w:t>W</w:t>
      </w:r>
      <w:r>
        <w:rPr>
          <w:rFonts w:ascii="Arial" w:hAnsi="Arial" w:eastAsia="宋体" w:cs="Arial"/>
          <w:kern w:val="0"/>
          <w:sz w:val="20"/>
          <w:szCs w:val="20"/>
          <w:lang w:val="en-GB" w:eastAsia="en-US"/>
        </w:rPr>
        <w:t xml:space="preserve">ID </w:t>
      </w:r>
      <w:r>
        <w:rPr>
          <w:rFonts w:hint="eastAsia" w:ascii="Arial" w:hAnsi="Arial" w:eastAsia="宋体" w:cs="Arial"/>
          <w:kern w:val="0"/>
          <w:sz w:val="20"/>
          <w:szCs w:val="20"/>
          <w:lang w:val="en-GB" w:eastAsia="en-US"/>
        </w:rPr>
        <w:t>Further NR mobility enhancements</w:t>
      </w:r>
      <w:r>
        <w:rPr>
          <w:rFonts w:ascii="Arial" w:hAnsi="Arial" w:eastAsia="宋体" w:cs="Arial"/>
          <w:kern w:val="0"/>
          <w:sz w:val="20"/>
          <w:szCs w:val="20"/>
          <w:lang w:val="en-GB" w:eastAsia="en-US"/>
        </w:rPr>
        <w:t xml:space="preserve"> [1] was agreed, and one of the objectives is about </w:t>
      </w:r>
      <w:r>
        <w:rPr>
          <w:rFonts w:ascii="Arial" w:hAnsi="Arial" w:cs="Arial"/>
          <w:bCs/>
        </w:rPr>
        <w:t>NR-DC with selective activation of the cell groups</w:t>
      </w:r>
      <w:r>
        <w:rPr>
          <w:rFonts w:ascii="Arial" w:hAnsi="Arial" w:eastAsia="宋体" w:cs="Arial"/>
          <w:kern w:val="0"/>
          <w:sz w:val="20"/>
          <w:szCs w:val="20"/>
          <w:lang w:val="en-GB" w:eastAsia="en-US"/>
        </w:rPr>
        <w:t xml:space="preserve"> as following: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numPr>
                <w:ilvl w:val="0"/>
                <w:numId w:val="1"/>
              </w:numPr>
              <w:spacing w:after="120"/>
              <w:rPr>
                <w:rFonts w:ascii="Arial" w:hAnsi="Arial" w:cs="Arial"/>
                <w:bCs/>
                <w:lang w:val="en-GB" w:eastAsia="en-GB"/>
              </w:rPr>
            </w:pPr>
            <w:r>
              <w:rPr>
                <w:rFonts w:ascii="Arial" w:hAnsi="Arial" w:cs="Arial"/>
                <w:bCs/>
                <w:lang w:val="en-GB" w:eastAsia="en-GB"/>
              </w:rPr>
              <w:t>To specify mechanism and procedures of NR-DC with selective activation of the cell groups (at least for SCG) via L3 enhancements:</w:t>
            </w:r>
          </w:p>
          <w:p>
            <w:pPr>
              <w:numPr>
                <w:ilvl w:val="0"/>
                <w:numId w:val="2"/>
              </w:numPr>
              <w:spacing w:after="120"/>
              <w:rPr>
                <w:rFonts w:ascii="Arial" w:hAnsi="Arial" w:cs="Arial"/>
                <w:bCs/>
                <w:lang w:val="en-GB" w:eastAsia="en-GB"/>
              </w:rPr>
            </w:pPr>
            <w:r>
              <w:rPr>
                <w:rFonts w:ascii="Arial" w:hAnsi="Arial" w:cs="Arial"/>
                <w:bCs/>
                <w:lang w:val="en-GB" w:eastAsia="en-GB"/>
              </w:rPr>
              <w:t>To allow subsequent cell group change after changing CG without reconfiguration and re-initiation of CPC/CPA [RAN2, RAN3, RAN4]</w:t>
            </w:r>
          </w:p>
          <w:p>
            <w:pPr>
              <w:spacing w:after="120"/>
              <w:rPr>
                <w:rFonts w:ascii="Times New Roman" w:hAnsi="Times New Roman" w:eastAsia="宋体" w:cs="Times New Roman"/>
                <w:kern w:val="0"/>
                <w:sz w:val="20"/>
                <w:szCs w:val="20"/>
                <w:lang w:val="en-GB" w:eastAsia="en-GB"/>
              </w:rPr>
            </w:pPr>
            <w:r>
              <w:rPr>
                <w:rFonts w:ascii="Arial" w:hAnsi="Arial" w:cs="Arial"/>
                <w:bCs/>
                <w:i/>
                <w:lang w:val="en-GB" w:eastAsia="en-GB"/>
              </w:rPr>
              <w:t>Note 4: A harmonized</w:t>
            </w:r>
            <w:r>
              <w:rPr>
                <w:rStyle w:val="10"/>
                <w:rFonts w:ascii="Arial" w:hAnsi="Arial" w:cs="Arial"/>
                <w:lang w:val="en-GB" w:eastAsia="en-GB"/>
              </w:rPr>
              <w:t xml:space="preserve"> RRC modelling approach for objective</w:t>
            </w:r>
            <w:r>
              <w:rPr>
                <w:rStyle w:val="10"/>
                <w:rFonts w:ascii="Arial" w:hAnsi="Arial" w:cs="Arial"/>
                <w:i w:val="0"/>
                <w:lang w:val="en-GB" w:eastAsia="en-GB"/>
              </w:rPr>
              <w:t>s</w:t>
            </w:r>
            <w:r>
              <w:rPr>
                <w:rStyle w:val="10"/>
                <w:rFonts w:ascii="Arial" w:hAnsi="Arial" w:cs="Arial"/>
                <w:lang w:val="en-GB" w:eastAsia="en-GB"/>
              </w:rPr>
              <w:t xml:space="preserve"> 1 and 2 could be considered to minimize the workload in RAN2.</w:t>
            </w:r>
          </w:p>
        </w:tc>
      </w:tr>
    </w:tbl>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This contribution will discuss the potential</w:t>
      </w:r>
      <w:r>
        <w:rPr>
          <w:rFonts w:hint="eastAsia" w:ascii="Arial" w:hAnsi="Arial" w:eastAsia="宋体" w:cs="Arial"/>
          <w:kern w:val="0"/>
          <w:sz w:val="20"/>
          <w:szCs w:val="20"/>
        </w:rPr>
        <w:t xml:space="preserve"> enhancements on </w:t>
      </w:r>
      <w:r>
        <w:rPr>
          <w:rFonts w:ascii="Arial" w:hAnsi="Arial" w:cs="Arial"/>
          <w:bCs/>
        </w:rPr>
        <w:t>NR-DC with selective activation of the cell groups</w:t>
      </w:r>
      <w:r>
        <w:rPr>
          <w:rFonts w:ascii="Arial" w:hAnsi="Arial" w:eastAsia="宋体" w:cs="Arial"/>
          <w:kern w:val="0"/>
          <w:sz w:val="20"/>
          <w:szCs w:val="20"/>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rPr>
        <w:t>the scenario</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In Rel-17 Conditional PSCell change (CPC)/Conditional PSCell addition (CPA), a CPC/CPA-configured UE has to release the CPC/CPA configurations when completing random access towards the target PSCell. Hence the UE doesn</w:t>
      </w:r>
      <w:r>
        <w:rPr>
          <w:rFonts w:ascii="Arial" w:hAnsi="Arial" w:eastAsia="宋体" w:cs="Arial"/>
          <w:kern w:val="0"/>
          <w:sz w:val="20"/>
          <w:szCs w:val="20"/>
        </w:rPr>
        <w:t>’</w:t>
      </w:r>
      <w:r>
        <w:rPr>
          <w:rFonts w:hint="eastAsia" w:ascii="Arial" w:hAnsi="Arial" w:eastAsia="宋体" w:cs="Arial"/>
          <w:kern w:val="0"/>
          <w:sz w:val="20"/>
          <w:szCs w:val="20"/>
        </w:rPr>
        <w:t xml:space="preserve">t have a chance to perform subsequent CPC/CPA without prior CPC/CPA reconfiguration and re-initialization from the network. This will increase the delay for the cell change and increase the signaling overhead, especially in the case of frequent SCG changes when operating FR2. </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 xml:space="preserve">Therefore, NR-DC with selective activation of cell groups aims at enabling subsequent CPC/CPA after SCG change, without reconfiguration and re-initialization on the CPC/CPA preparation from the network. This will </w:t>
      </w:r>
      <w:r>
        <w:rPr>
          <w:rFonts w:ascii="Arial" w:hAnsi="Arial" w:eastAsia="宋体" w:cs="Arial"/>
          <w:kern w:val="0"/>
          <w:sz w:val="20"/>
          <w:szCs w:val="20"/>
        </w:rPr>
        <w:t>enable</w:t>
      </w:r>
      <w:r>
        <w:rPr>
          <w:rFonts w:hint="eastAsia" w:ascii="Arial" w:hAnsi="Arial" w:eastAsia="宋体" w:cs="Arial"/>
          <w:kern w:val="0"/>
          <w:sz w:val="20"/>
          <w:szCs w:val="20"/>
        </w:rPr>
        <w:t xml:space="preserve"> a reduction of the signalling overhead and interrupting time for SCG change.</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 xml:space="preserve">In the WID, this objective is at least for SCG, and considering the workload of RAN2, we </w:t>
      </w:r>
      <w:r>
        <w:rPr>
          <w:rFonts w:ascii="Arial" w:hAnsi="Arial" w:eastAsia="宋体" w:cs="Arial"/>
          <w:kern w:val="0"/>
          <w:sz w:val="20"/>
          <w:szCs w:val="20"/>
        </w:rPr>
        <w:t>propose</w:t>
      </w:r>
      <w:r>
        <w:rPr>
          <w:rFonts w:hint="eastAsia" w:ascii="Arial" w:hAnsi="Arial" w:eastAsia="宋体" w:cs="Arial"/>
          <w:kern w:val="0"/>
          <w:sz w:val="20"/>
          <w:szCs w:val="20"/>
        </w:rPr>
        <w:t xml:space="preserve"> to focus on SCG change firstly. And if time allowed, we can discuss MCG change.</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 xml:space="preserve">Proposal 1: RAN2 to focus on SCG change firstly, and </w:t>
      </w:r>
      <w:r>
        <w:rPr>
          <w:rFonts w:ascii="Arial" w:hAnsi="Arial" w:eastAsia="宋体" w:cs="Arial"/>
          <w:b/>
          <w:bCs/>
          <w:kern w:val="0"/>
          <w:sz w:val="20"/>
          <w:szCs w:val="20"/>
        </w:rPr>
        <w:t>then</w:t>
      </w:r>
      <w:r>
        <w:rPr>
          <w:rFonts w:hint="eastAsia" w:ascii="Arial" w:hAnsi="Arial" w:eastAsia="宋体" w:cs="Arial"/>
          <w:b/>
          <w:bCs/>
          <w:kern w:val="0"/>
          <w:sz w:val="20"/>
          <w:szCs w:val="20"/>
        </w:rPr>
        <w:t xml:space="preserve"> discuss MCG change if time allowed.</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In Rel-17, CPC including MN initiated case and SN initiated case (MN involved). For MN initiated CPC, the execution condition is configured by MN, and for SN initiated CPC, the execution condition is configured by SN. So</w:t>
      </w:r>
      <w:r>
        <w:rPr>
          <w:rFonts w:ascii="Arial" w:hAnsi="Arial" w:eastAsia="宋体" w:cs="Arial"/>
          <w:kern w:val="0"/>
          <w:sz w:val="20"/>
          <w:szCs w:val="20"/>
        </w:rPr>
        <w:t>,</w:t>
      </w:r>
      <w:r>
        <w:rPr>
          <w:rFonts w:hint="eastAsia" w:ascii="Arial" w:hAnsi="Arial" w:eastAsia="宋体" w:cs="Arial"/>
          <w:kern w:val="0"/>
          <w:sz w:val="20"/>
          <w:szCs w:val="20"/>
        </w:rPr>
        <w:t xml:space="preserve"> when a CPC happens, there is a problem with the validity of the execution condition for SN initiated case because the source SN (reference point) changed. For simplicity, MN initiated case can be prioritized and SN initiated case is de-prioritized.</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Proposal 2: RAN2 to prioritize the MN initiated case for objective 2, and SN initiated case is de-prioritized.</w:t>
      </w:r>
    </w:p>
    <w:p>
      <w:pPr>
        <w:widowControl/>
        <w:spacing w:after="180"/>
        <w:rPr>
          <w:rFonts w:ascii="Arial" w:hAnsi="Arial" w:eastAsia="宋体" w:cs="Arial"/>
          <w:b/>
          <w:bCs/>
          <w:kern w:val="0"/>
          <w:sz w:val="20"/>
          <w:szCs w:val="20"/>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2</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rPr>
        <w:t>the potential solutions</w:t>
      </w:r>
    </w:p>
    <w:p>
      <w:pPr>
        <w:spacing w:after="160" w:line="259" w:lineRule="auto"/>
        <w:rPr>
          <w:rFonts w:ascii="Arial" w:hAnsi="Arial" w:cs="Arial"/>
        </w:rPr>
      </w:pPr>
      <w:r>
        <w:rPr>
          <w:rFonts w:ascii="Arial" w:hAnsi="Arial" w:cs="Arial"/>
        </w:rPr>
        <w:t>During the email discussion in R</w:t>
      </w:r>
      <w:r>
        <w:rPr>
          <w:rFonts w:hint="eastAsia" w:ascii="Arial" w:hAnsi="Arial" w:cs="Arial"/>
        </w:rPr>
        <w:t>P#94-e [2]</w:t>
      </w:r>
      <w:r>
        <w:rPr>
          <w:rFonts w:ascii="Arial" w:hAnsi="Arial" w:cs="Arial"/>
        </w:rPr>
        <w:t>, companies discussed the potential solution</w:t>
      </w:r>
      <w:r>
        <w:rPr>
          <w:rFonts w:hint="eastAsia" w:ascii="Arial" w:hAnsi="Arial" w:cs="Arial"/>
        </w:rPr>
        <w:t>s</w:t>
      </w:r>
      <w:r>
        <w:rPr>
          <w:rFonts w:ascii="Arial" w:hAnsi="Arial" w:cs="Arial"/>
        </w:rPr>
        <w:t xml:space="preserve"> for this issue. In general, </w:t>
      </w:r>
      <w:r>
        <w:rPr>
          <w:rFonts w:hint="eastAsia" w:ascii="Arial" w:hAnsi="Arial" w:cs="Arial"/>
        </w:rPr>
        <w:t>two potential solutions were proposed, i.e.</w:t>
      </w:r>
      <w:r>
        <w:rPr>
          <w:rFonts w:ascii="Arial" w:hAnsi="Arial" w:cs="Arial"/>
        </w:rPr>
        <w:t>,</w:t>
      </w:r>
      <w:r>
        <w:rPr>
          <w:rFonts w:hint="eastAsia" w:ascii="Arial" w:hAnsi="Arial" w:cs="Arial"/>
        </w:rPr>
        <w:t xml:space="preserve"> UE-based solution and network-based solution.</w:t>
      </w:r>
    </w:p>
    <w:p>
      <w:pPr>
        <w:spacing w:after="160" w:line="259" w:lineRule="auto"/>
        <w:rPr>
          <w:rFonts w:ascii="Arial" w:hAnsi="Arial" w:cs="Arial"/>
          <w:b/>
          <w:bCs/>
        </w:rPr>
      </w:pPr>
      <w:r>
        <w:rPr>
          <w:rFonts w:hint="eastAsia" w:ascii="Arial" w:hAnsi="Arial" w:cs="Arial"/>
          <w:b/>
          <w:bCs/>
        </w:rPr>
        <w:t xml:space="preserve">For UE-based solution: </w:t>
      </w:r>
    </w:p>
    <w:p>
      <w:pPr>
        <w:spacing w:after="160" w:line="259" w:lineRule="auto"/>
        <w:rPr>
          <w:rFonts w:ascii="Arial" w:hAnsi="Arial" w:cs="Arial"/>
        </w:rPr>
      </w:pPr>
      <w:r>
        <w:rPr>
          <w:rFonts w:ascii="Arial" w:hAnsi="Arial" w:cs="Arial"/>
        </w:rPr>
        <w:t xml:space="preserve">The R17 CPAC mechanism is used as baseline but the UE will keep the CPAC configurations after changing CG. The UE will trigger to perform CPAC based on the </w:t>
      </w:r>
      <w:r>
        <w:rPr>
          <w:rFonts w:hint="eastAsia" w:ascii="Arial" w:hAnsi="Arial" w:cs="Arial"/>
        </w:rPr>
        <w:t xml:space="preserve">pre-configured </w:t>
      </w:r>
      <w:r>
        <w:rPr>
          <w:rFonts w:ascii="Arial" w:hAnsi="Arial" w:cs="Arial"/>
        </w:rPr>
        <w:t>CPAC execution condition.</w:t>
      </w:r>
    </w:p>
    <w:p>
      <w:pPr>
        <w:spacing w:after="160" w:line="259" w:lineRule="auto"/>
        <w:jc w:val="center"/>
      </w:pPr>
      <w:r>
        <w:drawing>
          <wp:inline distT="0" distB="0" distL="114300" distR="114300">
            <wp:extent cx="4904105" cy="2606040"/>
            <wp:effectExtent l="0" t="0" r="127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4904105" cy="2606040"/>
                    </a:xfrm>
                    <a:prstGeom prst="rect">
                      <a:avLst/>
                    </a:prstGeom>
                    <a:noFill/>
                    <a:ln>
                      <a:noFill/>
                    </a:ln>
                  </pic:spPr>
                </pic:pic>
              </a:graphicData>
            </a:graphic>
          </wp:inline>
        </w:drawing>
      </w:r>
    </w:p>
    <w:p>
      <w:pPr>
        <w:spacing w:after="160" w:line="259" w:lineRule="auto"/>
        <w:jc w:val="center"/>
        <w:rPr>
          <w:rFonts w:ascii="Arial" w:hAnsi="Arial" w:cs="Arial"/>
        </w:rPr>
      </w:pPr>
      <w:r>
        <w:rPr>
          <w:rFonts w:ascii="Arial" w:hAnsi="Arial" w:cs="Arial"/>
        </w:rPr>
        <w:t>Figure 2.2-1: UE based solution</w:t>
      </w:r>
    </w:p>
    <w:p>
      <w:pPr>
        <w:spacing w:after="160" w:line="259" w:lineRule="auto"/>
        <w:rPr>
          <w:rFonts w:ascii="Arial" w:hAnsi="Arial" w:cs="Arial"/>
          <w:b/>
          <w:bCs/>
        </w:rPr>
      </w:pPr>
      <w:r>
        <w:rPr>
          <w:rFonts w:ascii="Arial" w:hAnsi="Arial" w:cs="Arial"/>
          <w:b/>
          <w:bCs/>
        </w:rPr>
        <w:t>For network-based solution:</w:t>
      </w:r>
    </w:p>
    <w:p>
      <w:pPr>
        <w:spacing w:after="160" w:line="259" w:lineRule="auto"/>
        <w:rPr>
          <w:rFonts w:hint="eastAsia" w:ascii="Arial" w:hAnsi="Arial" w:cs="Arial"/>
        </w:rPr>
      </w:pPr>
      <w:r>
        <w:rPr>
          <w:rFonts w:hint="eastAsia" w:ascii="Arial" w:hAnsi="Arial" w:cs="Arial"/>
        </w:rPr>
        <w:t xml:space="preserve">The network sends candidate SCG configurations to the UE and indicates the UE which one to activate. It is like SCell activation/deactivation in conventional CA, but now this mechanism is applicable to PSCell. </w:t>
      </w:r>
      <w:r>
        <w:rPr>
          <w:rFonts w:hint="eastAsia" w:ascii="Arial" w:hAnsi="Arial" w:cs="Arial"/>
          <w:lang w:val="en-US" w:eastAsia="zh-CN"/>
        </w:rPr>
        <w:t>During the email discussion in RP#94-e, the companies discussed t</w:t>
      </w:r>
      <w:r>
        <w:rPr>
          <w:rFonts w:hint="eastAsia" w:ascii="Arial" w:hAnsi="Arial" w:cs="Arial"/>
        </w:rPr>
        <w:t>he activat</w:t>
      </w:r>
      <w:r>
        <w:rPr>
          <w:rFonts w:hint="eastAsia" w:ascii="Arial" w:hAnsi="Arial" w:cs="Arial"/>
          <w:lang w:val="en-US" w:eastAsia="zh-CN"/>
        </w:rPr>
        <w:t>ion methods, i.e.,</w:t>
      </w:r>
      <w:r>
        <w:rPr>
          <w:rFonts w:hint="eastAsia" w:ascii="Arial" w:hAnsi="Arial" w:cs="Arial"/>
        </w:rPr>
        <w:t xml:space="preserve"> L1/L2-based solution </w:t>
      </w:r>
      <w:r>
        <w:rPr>
          <w:rFonts w:hint="eastAsia" w:ascii="Arial" w:hAnsi="Arial" w:cs="Arial"/>
          <w:lang w:val="en-US" w:eastAsia="zh-CN"/>
        </w:rPr>
        <w:t>or</w:t>
      </w:r>
      <w:r>
        <w:rPr>
          <w:rFonts w:hint="eastAsia" w:ascii="Arial" w:hAnsi="Arial" w:cs="Arial"/>
        </w:rPr>
        <w:t xml:space="preserve"> L3-based solution. For intra-CU case, the L1/L2-based solution can be applied, and the similar framework/design with objective 1 </w:t>
      </w:r>
      <w:r>
        <w:rPr>
          <w:rFonts w:hint="default" w:ascii="Arial" w:hAnsi="Arial" w:cs="Arial"/>
          <w:lang w:val="en-US" w:eastAsia="zh-CN"/>
        </w:rPr>
        <w:t>“</w:t>
      </w:r>
      <w:r>
        <w:rPr>
          <w:rFonts w:ascii="Arial" w:hAnsi="Arial" w:cs="Arial"/>
        </w:rPr>
        <w:t>L1/L2 based inter-cell mobility”</w:t>
      </w:r>
      <w:r>
        <w:rPr>
          <w:rFonts w:hint="eastAsia" w:ascii="Arial" w:hAnsi="Arial" w:cs="Arial"/>
        </w:rPr>
        <w:t xml:space="preserve"> can be considered. But for inter-CU case, the L1/L2-based solution cannot be applied because PDCP anchor relocation and L2 reset are difficult to be avoided and more complexity</w:t>
      </w:r>
      <w:r>
        <w:rPr>
          <w:rFonts w:ascii="Arial" w:hAnsi="Arial" w:cs="Arial"/>
        </w:rPr>
        <w:t xml:space="preserve"> is introduced</w:t>
      </w:r>
      <w:r>
        <w:rPr>
          <w:rFonts w:hint="eastAsia" w:ascii="Arial" w:hAnsi="Arial" w:cs="Arial"/>
        </w:rPr>
        <w:t xml:space="preserve">, </w:t>
      </w:r>
      <w:r>
        <w:rPr>
          <w:rFonts w:hint="eastAsia" w:ascii="Arial" w:hAnsi="Arial" w:cs="Arial"/>
          <w:lang w:val="en-US" w:eastAsia="zh-CN"/>
        </w:rPr>
        <w:t xml:space="preserve">so, </w:t>
      </w:r>
      <w:r>
        <w:rPr>
          <w:rFonts w:hint="eastAsia" w:ascii="Arial" w:hAnsi="Arial" w:cs="Arial"/>
        </w:rPr>
        <w:t xml:space="preserve">L3-based selective activation can be </w:t>
      </w:r>
      <w:r>
        <w:rPr>
          <w:rFonts w:ascii="Arial" w:hAnsi="Arial" w:cs="Arial"/>
        </w:rPr>
        <w:t xml:space="preserve">the </w:t>
      </w:r>
      <w:r>
        <w:rPr>
          <w:rFonts w:hint="eastAsia" w:ascii="Arial" w:hAnsi="Arial" w:cs="Arial"/>
        </w:rPr>
        <w:t>baseline.</w:t>
      </w:r>
    </w:p>
    <w:p>
      <w:pPr>
        <w:spacing w:after="160" w:line="259" w:lineRule="auto"/>
        <w:rPr>
          <w:rFonts w:ascii="Arial" w:hAnsi="Arial" w:cs="Arial"/>
        </w:rPr>
      </w:pPr>
      <w:r>
        <w:rPr>
          <w:rFonts w:hint="eastAsia" w:ascii="Arial" w:hAnsi="Arial" w:cs="Arial"/>
        </w:rPr>
        <w:t>To reduce the workload of RAN2</w:t>
      </w:r>
      <w:r>
        <w:rPr>
          <w:rFonts w:hint="eastAsia" w:ascii="Arial" w:hAnsi="Arial" w:cs="Arial"/>
          <w:lang w:val="en-US" w:eastAsia="zh-CN"/>
        </w:rPr>
        <w:t>, we prefer a unified L3-based selective activation as baseline for intra-CU and inter-CU case, and the enhancements can be further discussed.</w:t>
      </w:r>
      <w:r>
        <w:rPr>
          <w:rFonts w:hint="eastAsia" w:ascii="Arial" w:hAnsi="Arial" w:cs="Arial"/>
        </w:rPr>
        <w:t xml:space="preserve"> </w:t>
      </w:r>
    </w:p>
    <w:p>
      <w:pPr>
        <w:spacing w:after="160" w:line="259" w:lineRule="auto"/>
        <w:jc w:val="center"/>
      </w:pPr>
      <w:r>
        <w:drawing>
          <wp:inline distT="0" distB="0" distL="114300" distR="114300">
            <wp:extent cx="4636135" cy="2499360"/>
            <wp:effectExtent l="0" t="0" r="254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4636135" cy="2499360"/>
                    </a:xfrm>
                    <a:prstGeom prst="rect">
                      <a:avLst/>
                    </a:prstGeom>
                    <a:noFill/>
                    <a:ln>
                      <a:noFill/>
                    </a:ln>
                  </pic:spPr>
                </pic:pic>
              </a:graphicData>
            </a:graphic>
          </wp:inline>
        </w:drawing>
      </w:r>
    </w:p>
    <w:p>
      <w:pPr>
        <w:spacing w:after="160" w:line="259" w:lineRule="auto"/>
        <w:jc w:val="center"/>
        <w:rPr>
          <w:rFonts w:ascii="Arial" w:hAnsi="Arial" w:cs="Arial"/>
        </w:rPr>
      </w:pPr>
      <w:r>
        <w:rPr>
          <w:rFonts w:ascii="Arial" w:hAnsi="Arial" w:cs="Arial"/>
        </w:rPr>
        <w:t>Figure 2.2-</w:t>
      </w:r>
      <w:r>
        <w:rPr>
          <w:rFonts w:hint="eastAsia" w:ascii="Arial" w:hAnsi="Arial" w:cs="Arial"/>
        </w:rPr>
        <w:t>2</w:t>
      </w:r>
      <w:r>
        <w:rPr>
          <w:rFonts w:ascii="Arial" w:hAnsi="Arial" w:cs="Arial"/>
        </w:rPr>
        <w:t xml:space="preserve">: </w:t>
      </w:r>
      <w:r>
        <w:rPr>
          <w:rFonts w:hint="eastAsia" w:ascii="Arial" w:hAnsi="Arial" w:cs="Arial"/>
        </w:rPr>
        <w:t>Network</w:t>
      </w:r>
      <w:r>
        <w:rPr>
          <w:rFonts w:ascii="Arial" w:hAnsi="Arial" w:cs="Arial"/>
        </w:rPr>
        <w:t xml:space="preserve"> based solution</w:t>
      </w:r>
    </w:p>
    <w:p>
      <w:pPr>
        <w:spacing w:after="160" w:line="259" w:lineRule="auto"/>
        <w:rPr>
          <w:rFonts w:ascii="Arial" w:hAnsi="Arial" w:cs="Arial"/>
          <w:b/>
          <w:bCs/>
        </w:rPr>
      </w:pPr>
      <w:r>
        <w:rPr>
          <w:rFonts w:hint="eastAsia" w:ascii="Arial" w:hAnsi="Arial" w:cs="Arial"/>
          <w:b/>
          <w:bCs/>
        </w:rPr>
        <w:t>Proposal 3: RAN2 to discuss whether the UE-based solution or network-based solution can be used for NR-DC with selective activation cell of groups.</w:t>
      </w:r>
    </w:p>
    <w:p>
      <w:pPr>
        <w:spacing w:after="160" w:line="259" w:lineRule="auto"/>
        <w:rPr>
          <w:rFonts w:ascii="Arial" w:hAnsi="Arial" w:cs="Arial"/>
          <w:b/>
          <w:bCs/>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3</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rPr>
        <w:t>other issues</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There may be some issues to support NR-DC with selective activation cell of groups.</w:t>
      </w:r>
    </w:p>
    <w:p>
      <w:pPr>
        <w:widowControl/>
        <w:spacing w:after="180"/>
        <w:rPr>
          <w:rFonts w:ascii="Arial" w:hAnsi="Arial" w:eastAsia="宋体" w:cs="Arial"/>
          <w:b/>
          <w:bCs/>
          <w:kern w:val="0"/>
          <w:sz w:val="20"/>
          <w:szCs w:val="20"/>
          <w:u w:val="single"/>
        </w:rPr>
      </w:pPr>
      <w:r>
        <w:rPr>
          <w:rFonts w:hint="eastAsia" w:ascii="Arial" w:hAnsi="Arial" w:eastAsia="宋体" w:cs="Arial"/>
          <w:b/>
          <w:bCs/>
          <w:kern w:val="0"/>
          <w:sz w:val="20"/>
          <w:szCs w:val="20"/>
          <w:u w:val="single"/>
        </w:rPr>
        <w:t>Issue#1: The validity duration of CPAC configuration</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 xml:space="preserve">One issue is about the validity duration of CPAC configuration, especially whether the previous selected configuration can be maintained for the UE. The continuous/subsequent cell change means that network resources need to be reserved for a longer time, </w:t>
      </w:r>
      <w:r>
        <w:rPr>
          <w:rFonts w:ascii="Arial" w:hAnsi="Arial" w:eastAsia="宋体" w:cs="Arial"/>
          <w:kern w:val="0"/>
          <w:sz w:val="20"/>
          <w:szCs w:val="20"/>
        </w:rPr>
        <w:t xml:space="preserve">which will increase the network overhead and </w:t>
      </w:r>
      <w:r>
        <w:rPr>
          <w:rFonts w:hint="eastAsia" w:ascii="Arial" w:hAnsi="Arial" w:eastAsia="宋体" w:cs="Arial"/>
          <w:kern w:val="0"/>
          <w:sz w:val="20"/>
          <w:szCs w:val="20"/>
        </w:rPr>
        <w:t>reduce the system capacity. The validity duration of CPAC configuration should be defined and aligned between the UE and network, for example, timer based, counter based or based on the network reconfiguration, etc.</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For the previous selected configuration, if the UE relea</w:t>
      </w:r>
      <w:bookmarkStart w:id="0" w:name="_GoBack"/>
      <w:bookmarkEnd w:id="0"/>
      <w:r>
        <w:rPr>
          <w:rFonts w:hint="eastAsia" w:ascii="Arial" w:hAnsi="Arial" w:eastAsia="宋体" w:cs="Arial"/>
          <w:kern w:val="0"/>
          <w:sz w:val="20"/>
          <w:szCs w:val="20"/>
        </w:rPr>
        <w:t>sed this configuration, the UE cannot get back to the previous selected SCG, but if the UE kept the configuration, the subsequent SCG change to the previous selected SN can be supported.</w:t>
      </w:r>
      <w:r>
        <w:rPr>
          <w:rFonts w:ascii="Arial" w:hAnsi="Arial" w:eastAsia="宋体" w:cs="Arial"/>
          <w:kern w:val="0"/>
          <w:sz w:val="20"/>
          <w:szCs w:val="20"/>
        </w:rPr>
        <w:t xml:space="preserve"> Therefore, there is a trade</w:t>
      </w:r>
      <w:r>
        <w:rPr>
          <w:rFonts w:hint="eastAsia" w:ascii="Arial" w:hAnsi="Arial" w:eastAsia="宋体" w:cs="Arial"/>
          <w:kern w:val="0"/>
          <w:sz w:val="20"/>
          <w:szCs w:val="20"/>
          <w:lang w:val="en-US" w:eastAsia="zh-CN"/>
        </w:rPr>
        <w:t>-</w:t>
      </w:r>
      <w:r>
        <w:rPr>
          <w:rFonts w:ascii="Arial" w:hAnsi="Arial" w:eastAsia="宋体" w:cs="Arial"/>
          <w:kern w:val="0"/>
          <w:sz w:val="20"/>
          <w:szCs w:val="20"/>
        </w:rPr>
        <w:t xml:space="preserve">off between the performance enhancement benefit from </w:t>
      </w:r>
      <w:r>
        <w:rPr>
          <w:rFonts w:ascii="Arial" w:hAnsi="Arial" w:cs="Arial"/>
          <w:bCs/>
        </w:rPr>
        <w:t>subsequent cell group change</w:t>
      </w:r>
      <w:r>
        <w:rPr>
          <w:rFonts w:ascii="Arial" w:hAnsi="Arial" w:eastAsia="宋体" w:cs="Arial"/>
          <w:kern w:val="0"/>
          <w:sz w:val="20"/>
          <w:szCs w:val="20"/>
        </w:rPr>
        <w:t xml:space="preserve"> and UE’s extra overhead to keep the configuration. </w:t>
      </w:r>
    </w:p>
    <w:p>
      <w:pPr>
        <w:widowControl/>
        <w:spacing w:after="180"/>
        <w:jc w:val="center"/>
      </w:pPr>
      <w:r>
        <w:drawing>
          <wp:inline distT="0" distB="0" distL="114300" distR="114300">
            <wp:extent cx="5296535" cy="1951990"/>
            <wp:effectExtent l="0" t="0" r="8890" b="63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6"/>
                    <a:stretch>
                      <a:fillRect/>
                    </a:stretch>
                  </pic:blipFill>
                  <pic:spPr>
                    <a:xfrm>
                      <a:off x="0" y="0"/>
                      <a:ext cx="5296535" cy="1951990"/>
                    </a:xfrm>
                    <a:prstGeom prst="rect">
                      <a:avLst/>
                    </a:prstGeom>
                    <a:noFill/>
                    <a:ln>
                      <a:noFill/>
                    </a:ln>
                  </pic:spPr>
                </pic:pic>
              </a:graphicData>
            </a:graphic>
          </wp:inline>
        </w:drawing>
      </w:r>
    </w:p>
    <w:p>
      <w:pPr>
        <w:widowControl/>
        <w:spacing w:after="180"/>
        <w:jc w:val="center"/>
      </w:pPr>
      <w:r>
        <w:rPr>
          <w:rFonts w:ascii="Arial" w:hAnsi="Arial" w:cs="Arial"/>
        </w:rPr>
        <w:t>Figure 2.</w:t>
      </w:r>
      <w:r>
        <w:rPr>
          <w:rFonts w:hint="eastAsia" w:ascii="Arial" w:hAnsi="Arial" w:cs="Arial"/>
        </w:rPr>
        <w:t>3</w:t>
      </w:r>
      <w:r>
        <w:rPr>
          <w:rFonts w:ascii="Arial" w:hAnsi="Arial" w:cs="Arial"/>
        </w:rPr>
        <w:t>-</w:t>
      </w:r>
      <w:r>
        <w:rPr>
          <w:rFonts w:hint="eastAsia" w:ascii="Arial" w:hAnsi="Arial" w:cs="Arial"/>
        </w:rPr>
        <w:t>1</w:t>
      </w:r>
      <w:r>
        <w:rPr>
          <w:rFonts w:ascii="Arial" w:hAnsi="Arial" w:cs="Arial"/>
        </w:rPr>
        <w:t xml:space="preserve">: </w:t>
      </w:r>
      <w:r>
        <w:rPr>
          <w:rFonts w:hint="eastAsia" w:ascii="Arial" w:hAnsi="Arial" w:cs="Arial"/>
        </w:rPr>
        <w:t>The validity duration of CPAC configuration</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Proposal 4: RAN2 to discuss the validity duration of CPAC configuration and whether the previous selected configuration can be maintained.</w:t>
      </w:r>
    </w:p>
    <w:p>
      <w:pPr>
        <w:widowControl/>
        <w:spacing w:after="180"/>
        <w:rPr>
          <w:rFonts w:hint="eastAsia" w:ascii="Arial" w:hAnsi="Arial" w:eastAsia="宋体" w:cs="Arial"/>
          <w:b/>
          <w:bCs/>
          <w:kern w:val="0"/>
          <w:sz w:val="20"/>
          <w:szCs w:val="20"/>
          <w:u w:val="single"/>
        </w:rPr>
      </w:pPr>
    </w:p>
    <w:p>
      <w:pPr>
        <w:widowControl/>
        <w:spacing w:after="180"/>
        <w:rPr>
          <w:rFonts w:ascii="Arial" w:hAnsi="Arial" w:eastAsia="宋体" w:cs="Arial"/>
          <w:b/>
          <w:bCs/>
          <w:kern w:val="0"/>
          <w:sz w:val="20"/>
          <w:szCs w:val="20"/>
          <w:u w:val="single"/>
        </w:rPr>
      </w:pPr>
      <w:r>
        <w:rPr>
          <w:rFonts w:hint="eastAsia" w:ascii="Arial" w:hAnsi="Arial" w:eastAsia="宋体" w:cs="Arial"/>
          <w:b/>
          <w:bCs/>
          <w:kern w:val="0"/>
          <w:sz w:val="20"/>
          <w:szCs w:val="20"/>
          <w:u w:val="single"/>
        </w:rPr>
        <w:t>Issue#2: Delta configuration</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T</w:t>
      </w:r>
      <w:r>
        <w:rPr>
          <w:rFonts w:ascii="Arial" w:hAnsi="Arial" w:eastAsia="宋体" w:cs="Arial"/>
          <w:kern w:val="0"/>
          <w:sz w:val="20"/>
          <w:szCs w:val="20"/>
        </w:rPr>
        <w:t>he delta configuration</w:t>
      </w:r>
      <w:r>
        <w:rPr>
          <w:rFonts w:hint="eastAsia" w:ascii="Arial" w:hAnsi="Arial" w:eastAsia="宋体" w:cs="Arial"/>
          <w:kern w:val="0"/>
          <w:sz w:val="20"/>
          <w:szCs w:val="20"/>
        </w:rPr>
        <w:t xml:space="preserve"> is introduced because it can reduce the signaling overhead compared with full configuration. But in this case, once the target SCG is activated, the delta configuration will be invalid because it is based on the source configuration. Thus, the delta configuration should be enhanced to avoid using the full configuration, such as define a default reference source configuration. Otherwise, this may force to use full configuration which will results in high signaling overload.</w:t>
      </w:r>
    </w:p>
    <w:p>
      <w:pPr>
        <w:widowControl/>
        <w:spacing w:after="180"/>
        <w:rPr>
          <w:rFonts w:hint="eastAsia" w:ascii="Arial" w:hAnsi="Arial" w:eastAsia="宋体" w:cs="Arial"/>
          <w:b/>
          <w:bCs/>
          <w:kern w:val="0"/>
          <w:sz w:val="20"/>
          <w:szCs w:val="20"/>
        </w:rPr>
      </w:pPr>
      <w:r>
        <w:rPr>
          <w:rFonts w:hint="eastAsia" w:ascii="Arial" w:hAnsi="Arial" w:eastAsia="宋体" w:cs="Arial"/>
          <w:b/>
          <w:bCs/>
          <w:kern w:val="0"/>
          <w:sz w:val="20"/>
          <w:szCs w:val="20"/>
        </w:rPr>
        <w:t>Proposal 5: RAN2 to discuss the delta configuration enhancements to support subsequent cell group change.</w:t>
      </w:r>
    </w:p>
    <w:p>
      <w:pPr>
        <w:widowControl/>
        <w:spacing w:after="180"/>
        <w:rPr>
          <w:rFonts w:hint="eastAsia" w:ascii="Arial" w:hAnsi="Arial" w:eastAsia="宋体" w:cs="Arial"/>
          <w:b/>
          <w:bCs/>
          <w:kern w:val="0"/>
          <w:sz w:val="20"/>
          <w:szCs w:val="20"/>
        </w:rPr>
      </w:pPr>
    </w:p>
    <w:p>
      <w:pPr>
        <w:widowControl/>
        <w:spacing w:after="180"/>
        <w:rPr>
          <w:rFonts w:ascii="Arial" w:hAnsi="Arial" w:eastAsia="宋体" w:cs="Arial"/>
          <w:b/>
          <w:bCs/>
          <w:kern w:val="0"/>
          <w:sz w:val="20"/>
          <w:szCs w:val="20"/>
          <w:u w:val="single"/>
        </w:rPr>
      </w:pPr>
      <w:r>
        <w:rPr>
          <w:rFonts w:hint="eastAsia" w:ascii="Arial" w:hAnsi="Arial" w:eastAsia="宋体" w:cs="Arial"/>
          <w:b/>
          <w:bCs/>
          <w:kern w:val="0"/>
          <w:sz w:val="20"/>
          <w:szCs w:val="20"/>
          <w:u w:val="single"/>
        </w:rPr>
        <w:t>Issue#3: Interaction among candidate SNs</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rPr>
        <w:t xml:space="preserve">To support service continuity, </w:t>
      </w:r>
      <w:r>
        <w:rPr>
          <w:rFonts w:hint="eastAsia" w:ascii="Arial" w:hAnsi="Arial" w:eastAsia="宋体" w:cs="Arial"/>
          <w:kern w:val="0"/>
          <w:sz w:val="20"/>
          <w:szCs w:val="20"/>
          <w:lang w:val="en-US" w:eastAsia="zh-CN"/>
        </w:rPr>
        <w:t>each</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candidate SN needs to know </w:t>
      </w:r>
      <w:r>
        <w:rPr>
          <w:rFonts w:hint="eastAsia" w:ascii="Arial" w:hAnsi="Arial" w:eastAsia="宋体" w:cs="Arial"/>
          <w:kern w:val="0"/>
          <w:sz w:val="20"/>
          <w:szCs w:val="20"/>
        </w:rPr>
        <w:t xml:space="preserve">about </w:t>
      </w:r>
      <w:r>
        <w:rPr>
          <w:rFonts w:hint="eastAsia" w:ascii="Arial" w:hAnsi="Arial" w:eastAsia="宋体" w:cs="Arial"/>
          <w:kern w:val="0"/>
          <w:sz w:val="20"/>
          <w:szCs w:val="20"/>
          <w:lang w:val="en-US" w:eastAsia="zh-CN"/>
        </w:rPr>
        <w:t xml:space="preserve">the </w:t>
      </w:r>
      <w:r>
        <w:rPr>
          <w:rFonts w:hint="eastAsia" w:ascii="Arial" w:hAnsi="Arial" w:eastAsia="宋体" w:cs="Arial"/>
          <w:kern w:val="0"/>
          <w:sz w:val="20"/>
          <w:szCs w:val="20"/>
        </w:rPr>
        <w:t>candidate SN list for data forwarding among the candidate SNs.</w:t>
      </w:r>
      <w:r>
        <w:rPr>
          <w:rFonts w:hint="eastAsia" w:ascii="Arial" w:hAnsi="Arial" w:eastAsia="宋体" w:cs="Arial"/>
          <w:kern w:val="0"/>
          <w:sz w:val="20"/>
          <w:szCs w:val="20"/>
          <w:lang w:val="en-US" w:eastAsia="zh-CN"/>
        </w:rPr>
        <w:t xml:space="preserve"> The candidate SN list can be configured to each candidate SN by MN, or may be received by interaction among candidate SNs. If the latter is adopted, the Xn interface is needed to be established between all candidate SNs. However, there may not be an interface between all SNs in deployment, and this will increase the signaling overload of Xn interface. So, it is a </w:t>
      </w:r>
      <w:r>
        <w:rPr>
          <w:rFonts w:hint="eastAsia" w:ascii="Arial" w:hAnsi="Arial" w:eastAsia="宋体" w:cs="Arial"/>
          <w:kern w:val="0"/>
          <w:sz w:val="20"/>
          <w:szCs w:val="20"/>
        </w:rPr>
        <w:t>straightforward</w:t>
      </w:r>
      <w:r>
        <w:rPr>
          <w:rFonts w:hint="eastAsia" w:ascii="Arial" w:hAnsi="Arial" w:eastAsia="宋体" w:cs="Arial"/>
          <w:kern w:val="0"/>
          <w:sz w:val="20"/>
          <w:szCs w:val="20"/>
          <w:lang w:val="en-US" w:eastAsia="zh-CN"/>
        </w:rPr>
        <w:t xml:space="preserve"> and simple way that MN informs each candidate SN about candidate SN list for data forwarding. But this issue on interaction among RAN nodes should be finally decided by RAN3.</w:t>
      </w:r>
    </w:p>
    <w:p>
      <w:pPr>
        <w:widowControl/>
        <w:spacing w:after="180"/>
        <w:jc w:val="center"/>
      </w:pPr>
      <w:r>
        <w:drawing>
          <wp:inline distT="0" distB="0" distL="114300" distR="114300">
            <wp:extent cx="5042535" cy="2740025"/>
            <wp:effectExtent l="0" t="0" r="5715"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042535" cy="2740025"/>
                    </a:xfrm>
                    <a:prstGeom prst="rect">
                      <a:avLst/>
                    </a:prstGeom>
                    <a:noFill/>
                    <a:ln>
                      <a:noFill/>
                    </a:ln>
                  </pic:spPr>
                </pic:pic>
              </a:graphicData>
            </a:graphic>
          </wp:inline>
        </w:drawing>
      </w:r>
    </w:p>
    <w:p>
      <w:pPr>
        <w:spacing w:after="160" w:line="259" w:lineRule="auto"/>
        <w:jc w:val="center"/>
        <w:rPr>
          <w:rFonts w:ascii="Arial" w:hAnsi="Arial" w:cs="Arial"/>
        </w:rPr>
      </w:pPr>
      <w:r>
        <w:rPr>
          <w:rFonts w:ascii="Arial" w:hAnsi="Arial" w:cs="Arial"/>
        </w:rPr>
        <w:t>Figure 2.</w:t>
      </w:r>
      <w:r>
        <w:rPr>
          <w:rFonts w:hint="eastAsia" w:ascii="Arial" w:hAnsi="Arial" w:cs="Arial"/>
        </w:rPr>
        <w:t>3</w:t>
      </w:r>
      <w:r>
        <w:rPr>
          <w:rFonts w:ascii="Arial" w:hAnsi="Arial" w:cs="Arial"/>
        </w:rPr>
        <w:t>-</w:t>
      </w:r>
      <w:r>
        <w:rPr>
          <w:rFonts w:hint="eastAsia" w:ascii="Arial" w:hAnsi="Arial" w:cs="Arial"/>
        </w:rPr>
        <w:t>2</w:t>
      </w:r>
      <w:r>
        <w:rPr>
          <w:rFonts w:ascii="Arial" w:hAnsi="Arial" w:cs="Arial"/>
        </w:rPr>
        <w:t xml:space="preserve">: </w:t>
      </w:r>
      <w:r>
        <w:rPr>
          <w:rFonts w:hint="eastAsia" w:ascii="Arial" w:hAnsi="Arial" w:cs="Arial"/>
        </w:rPr>
        <w:t>The interaction among the candidate SNs</w:t>
      </w:r>
    </w:p>
    <w:p>
      <w:pPr>
        <w:widowControl/>
        <w:spacing w:after="180"/>
        <w:rPr>
          <w:rFonts w:hint="eastAsia" w:ascii="Arial" w:hAnsi="Arial" w:eastAsia="宋体" w:cs="Arial"/>
          <w:b/>
          <w:bCs/>
          <w:kern w:val="0"/>
          <w:sz w:val="20"/>
          <w:szCs w:val="20"/>
        </w:rPr>
      </w:pPr>
      <w:r>
        <w:rPr>
          <w:rFonts w:hint="eastAsia" w:ascii="Arial" w:hAnsi="Arial" w:eastAsia="宋体" w:cs="Arial"/>
          <w:b/>
          <w:bCs/>
          <w:kern w:val="0"/>
          <w:sz w:val="20"/>
          <w:szCs w:val="20"/>
        </w:rPr>
        <w:t>Proposal 6: MN inform</w:t>
      </w:r>
      <w:r>
        <w:rPr>
          <w:rFonts w:hint="eastAsia" w:ascii="Arial" w:hAnsi="Arial" w:eastAsia="宋体" w:cs="Arial"/>
          <w:b/>
          <w:bCs/>
          <w:kern w:val="0"/>
          <w:sz w:val="20"/>
          <w:szCs w:val="20"/>
          <w:lang w:val="en-US" w:eastAsia="zh-CN"/>
        </w:rPr>
        <w:t>s</w:t>
      </w:r>
      <w:r>
        <w:rPr>
          <w:rFonts w:hint="eastAsia" w:ascii="Arial" w:hAnsi="Arial" w:eastAsia="宋体" w:cs="Arial"/>
          <w:b/>
          <w:bCs/>
          <w:kern w:val="0"/>
          <w:sz w:val="20"/>
          <w:szCs w:val="20"/>
        </w:rPr>
        <w:t xml:space="preserve"> each candidate SN about candidate SN list for data forwarding</w:t>
      </w:r>
      <w:r>
        <w:rPr>
          <w:rFonts w:hint="eastAsia" w:ascii="Arial" w:hAnsi="Arial" w:eastAsia="宋体" w:cs="Arial"/>
          <w:b/>
          <w:bCs/>
          <w:kern w:val="0"/>
          <w:sz w:val="20"/>
          <w:szCs w:val="20"/>
          <w:lang w:val="en-US" w:eastAsia="zh-CN"/>
        </w:rPr>
        <w:t>, and the details are up to RAN3 decision</w:t>
      </w:r>
      <w:r>
        <w:rPr>
          <w:rFonts w:hint="eastAsia" w:ascii="Arial" w:hAnsi="Arial" w:eastAsia="宋体" w:cs="Arial"/>
          <w:b/>
          <w:bCs/>
          <w:kern w:val="0"/>
          <w:sz w:val="20"/>
          <w:szCs w:val="20"/>
        </w:rPr>
        <w:t>.</w:t>
      </w:r>
    </w:p>
    <w:p>
      <w:pPr>
        <w:widowControl/>
        <w:spacing w:after="180"/>
        <w:rPr>
          <w:rFonts w:hint="eastAsia" w:ascii="Arial" w:hAnsi="Arial" w:eastAsia="宋体" w:cs="Arial"/>
          <w:b/>
          <w:bCs/>
          <w:kern w:val="0"/>
          <w:sz w:val="20"/>
          <w:szCs w:val="20"/>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NR-DC with selective activation cell of groups</w:t>
      </w:r>
      <w:r>
        <w:rPr>
          <w:rFonts w:ascii="Arial" w:hAnsi="Arial" w:eastAsia="宋体" w:cs="Arial"/>
          <w:kern w:val="0"/>
          <w:sz w:val="20"/>
          <w:szCs w:val="20"/>
          <w:lang w:val="en-GB" w:eastAsia="en-US"/>
        </w:rPr>
        <w:t>.</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Proposal 1: RAN2 to focus on SCG change firstly, and may discuss MCG change if time allowed.</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Proposal 2: RAN2 to prioritize the MN initiated case for objective 2, and SN initiated case is de-prioritized.</w:t>
      </w:r>
    </w:p>
    <w:p>
      <w:pPr>
        <w:spacing w:after="160" w:line="259" w:lineRule="auto"/>
        <w:rPr>
          <w:rFonts w:ascii="Arial" w:hAnsi="Arial" w:cs="Arial"/>
          <w:b/>
          <w:bCs/>
        </w:rPr>
      </w:pPr>
      <w:r>
        <w:rPr>
          <w:rFonts w:hint="eastAsia" w:ascii="Arial" w:hAnsi="Arial" w:cs="Arial"/>
          <w:b/>
          <w:bCs/>
        </w:rPr>
        <w:t>Proposal 3: RAN2 to discuss whether the UE-based solution or network-based solution can be used for NR-DC with selective activation cell of groups.</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Proposal 4: RAN2 to discuss the validity duration of CPAC configuration and whether the previous selected configuration can be maintained.</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Proposal 5: RAN2 to discuss the delta configuration enhancements to support subsequent cell group change.</w:t>
      </w:r>
    </w:p>
    <w:p>
      <w:pPr>
        <w:widowControl/>
        <w:spacing w:after="180"/>
        <w:rPr>
          <w:rFonts w:hint="eastAsia" w:ascii="Arial" w:hAnsi="Arial" w:eastAsia="宋体" w:cs="Arial"/>
          <w:b/>
          <w:bCs/>
          <w:kern w:val="0"/>
          <w:sz w:val="20"/>
          <w:szCs w:val="20"/>
        </w:rPr>
      </w:pPr>
      <w:r>
        <w:rPr>
          <w:rFonts w:hint="eastAsia" w:ascii="Arial" w:hAnsi="Arial" w:eastAsia="宋体" w:cs="Arial"/>
          <w:b/>
          <w:bCs/>
          <w:kern w:val="0"/>
          <w:sz w:val="20"/>
          <w:szCs w:val="20"/>
        </w:rPr>
        <w:t>Proposal 6: MN inform</w:t>
      </w:r>
      <w:r>
        <w:rPr>
          <w:rFonts w:hint="eastAsia" w:ascii="Arial" w:hAnsi="Arial" w:eastAsia="宋体" w:cs="Arial"/>
          <w:b/>
          <w:bCs/>
          <w:kern w:val="0"/>
          <w:sz w:val="20"/>
          <w:szCs w:val="20"/>
          <w:lang w:val="en-US" w:eastAsia="zh-CN"/>
        </w:rPr>
        <w:t>s</w:t>
      </w:r>
      <w:r>
        <w:rPr>
          <w:rFonts w:hint="eastAsia" w:ascii="Arial" w:hAnsi="Arial" w:eastAsia="宋体" w:cs="Arial"/>
          <w:b/>
          <w:bCs/>
          <w:kern w:val="0"/>
          <w:sz w:val="20"/>
          <w:szCs w:val="20"/>
        </w:rPr>
        <w:t xml:space="preserve"> each candidate SN about candidate SN list for data forwarding</w:t>
      </w:r>
      <w:r>
        <w:rPr>
          <w:rFonts w:hint="eastAsia" w:ascii="Arial" w:hAnsi="Arial" w:eastAsia="宋体" w:cs="Arial"/>
          <w:b/>
          <w:bCs/>
          <w:kern w:val="0"/>
          <w:sz w:val="20"/>
          <w:szCs w:val="20"/>
          <w:lang w:val="en-US" w:eastAsia="zh-CN"/>
        </w:rPr>
        <w:t>, and the details are up to RAN3 decision</w:t>
      </w:r>
      <w:r>
        <w:rPr>
          <w:rFonts w:hint="eastAsia" w:ascii="Arial" w:hAnsi="Arial" w:eastAsia="宋体" w:cs="Arial"/>
          <w:b/>
          <w:bCs/>
          <w:kern w:val="0"/>
          <w:sz w:val="20"/>
          <w:szCs w:val="20"/>
        </w:rPr>
        <w:t>.</w:t>
      </w:r>
    </w:p>
    <w:p>
      <w:pPr>
        <w:widowControl/>
        <w:spacing w:after="180"/>
        <w:rPr>
          <w:rFonts w:hint="eastAsia" w:ascii="Arial" w:hAnsi="Arial" w:eastAsia="宋体" w:cs="Arial"/>
          <w:b/>
          <w:bCs/>
          <w:kern w:val="0"/>
          <w:sz w:val="20"/>
          <w:szCs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4"/>
        </w:numPr>
        <w:overflowPunct w:val="0"/>
        <w:autoSpaceDE w:val="0"/>
        <w:autoSpaceDN w:val="0"/>
        <w:adjustRightInd w:val="0"/>
        <w:spacing w:after="180"/>
        <w:jc w:val="left"/>
        <w:textAlignment w:val="baseline"/>
        <w:rPr>
          <w:rFonts w:ascii="Arial" w:hAnsi="Arial" w:eastAsia="宋体" w:cs="Arial"/>
          <w:bCs/>
          <w:kern w:val="0"/>
          <w:sz w:val="20"/>
          <w:szCs w:val="20"/>
          <w:lang w:val="en-GB" w:eastAsia="en-US"/>
        </w:rPr>
      </w:pPr>
      <w:r>
        <w:rPr>
          <w:rFonts w:ascii="Arial" w:hAnsi="Arial" w:eastAsia="宋体" w:cs="Arial"/>
          <w:kern w:val="0"/>
          <w:sz w:val="20"/>
          <w:szCs w:val="20"/>
          <w:lang w:val="en-GB" w:eastAsia="en-US"/>
        </w:rPr>
        <w:t>RP-221</w:t>
      </w:r>
      <w:r>
        <w:rPr>
          <w:rFonts w:hint="eastAsia" w:ascii="Arial" w:hAnsi="Arial" w:eastAsia="宋体" w:cs="Arial"/>
          <w:kern w:val="0"/>
          <w:sz w:val="20"/>
          <w:szCs w:val="20"/>
        </w:rPr>
        <w:t>799</w:t>
      </w:r>
      <w:r>
        <w:rPr>
          <w:rFonts w:ascii="Arial" w:hAnsi="Arial" w:eastAsia="宋体" w:cs="Arial"/>
          <w:kern w:val="0"/>
          <w:sz w:val="20"/>
          <w:szCs w:val="20"/>
          <w:lang w:val="en-GB" w:eastAsia="en-US"/>
        </w:rPr>
        <w:t xml:space="preserve">, </w:t>
      </w:r>
      <w:r>
        <w:rPr>
          <w:rFonts w:ascii="Arial" w:hAnsi="Arial" w:eastAsia="Batang" w:cs="Arial"/>
          <w:bCs/>
        </w:rPr>
        <w:t>Revised WID on Further NR mobility enhancements</w:t>
      </w:r>
    </w:p>
    <w:p>
      <w:pPr>
        <w:widowControl/>
        <w:numPr>
          <w:ilvl w:val="0"/>
          <w:numId w:val="4"/>
        </w:numPr>
        <w:overflowPunct w:val="0"/>
        <w:autoSpaceDE w:val="0"/>
        <w:autoSpaceDN w:val="0"/>
        <w:adjustRightInd w:val="0"/>
        <w:spacing w:after="180"/>
        <w:jc w:val="left"/>
        <w:textAlignment w:val="baseline"/>
        <w:rPr>
          <w:rFonts w:ascii="Arial" w:hAnsi="Arial" w:eastAsia="宋体" w:cs="Arial"/>
          <w:bCs/>
          <w:kern w:val="0"/>
          <w:sz w:val="20"/>
          <w:szCs w:val="20"/>
          <w:lang w:val="en-GB" w:eastAsia="en-US"/>
        </w:rPr>
      </w:pPr>
      <w:r>
        <w:rPr>
          <w:rFonts w:hint="eastAsia" w:ascii="Arial" w:hAnsi="Arial" w:eastAsia="宋体" w:cs="Arial"/>
          <w:bCs/>
          <w:kern w:val="0"/>
          <w:sz w:val="20"/>
          <w:szCs w:val="20"/>
        </w:rPr>
        <w:t>RP-212670, Moderator</w:t>
      </w:r>
      <w:r>
        <w:rPr>
          <w:rFonts w:ascii="Arial" w:hAnsi="Arial" w:eastAsia="宋体" w:cs="Arial"/>
          <w:bCs/>
          <w:kern w:val="0"/>
          <w:sz w:val="20"/>
          <w:szCs w:val="20"/>
        </w:rPr>
        <w:t>’</w:t>
      </w:r>
      <w:r>
        <w:rPr>
          <w:rFonts w:hint="eastAsia" w:ascii="Arial" w:hAnsi="Arial" w:eastAsia="宋体" w:cs="Arial"/>
          <w:bCs/>
          <w:kern w:val="0"/>
          <w:sz w:val="20"/>
          <w:szCs w:val="20"/>
        </w:rPr>
        <w:t>s summary for discussion [RAN94e-R18Prep-10] Mobility enhancements</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
    <w:nsid w:val="2DCAA566"/>
    <w:multiLevelType w:val="singleLevel"/>
    <w:tmpl w:val="2DCAA566"/>
    <w:lvl w:ilvl="0" w:tentative="0">
      <w:start w:val="2"/>
      <w:numFmt w:val="decimal"/>
      <w:lvlText w:val="%1"/>
      <w:lvlJc w:val="left"/>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7106D350"/>
    <w:multiLevelType w:val="singleLevel"/>
    <w:tmpl w:val="7106D350"/>
    <w:lvl w:ilvl="0" w:tentative="0">
      <w:start w:val="2"/>
      <w:numFmt w:val="decimal"/>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D4CCB"/>
    <w:rsid w:val="001E2496"/>
    <w:rsid w:val="001F7978"/>
    <w:rsid w:val="002215C2"/>
    <w:rsid w:val="00225D63"/>
    <w:rsid w:val="00234354"/>
    <w:rsid w:val="0023714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474C9"/>
    <w:rsid w:val="006743B8"/>
    <w:rsid w:val="00680623"/>
    <w:rsid w:val="006A4FB5"/>
    <w:rsid w:val="006B0BFB"/>
    <w:rsid w:val="006D1DA8"/>
    <w:rsid w:val="0074611C"/>
    <w:rsid w:val="007A2ADF"/>
    <w:rsid w:val="007B28E6"/>
    <w:rsid w:val="007E3904"/>
    <w:rsid w:val="00843904"/>
    <w:rsid w:val="008720A5"/>
    <w:rsid w:val="00880CC3"/>
    <w:rsid w:val="00894A29"/>
    <w:rsid w:val="008A5A0B"/>
    <w:rsid w:val="008D110D"/>
    <w:rsid w:val="008E4F97"/>
    <w:rsid w:val="00917DAC"/>
    <w:rsid w:val="00940BA3"/>
    <w:rsid w:val="00950D36"/>
    <w:rsid w:val="00956A27"/>
    <w:rsid w:val="00982B04"/>
    <w:rsid w:val="009924F0"/>
    <w:rsid w:val="009D3F27"/>
    <w:rsid w:val="009E36A7"/>
    <w:rsid w:val="009E6BC9"/>
    <w:rsid w:val="00A350C4"/>
    <w:rsid w:val="00AC3458"/>
    <w:rsid w:val="00AD67D5"/>
    <w:rsid w:val="00AD727F"/>
    <w:rsid w:val="00B113A1"/>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D23EE"/>
    <w:rsid w:val="00DD68F1"/>
    <w:rsid w:val="00DE1F21"/>
    <w:rsid w:val="00DE5620"/>
    <w:rsid w:val="00E513DD"/>
    <w:rsid w:val="00E82408"/>
    <w:rsid w:val="00ED765C"/>
    <w:rsid w:val="00EF5EE1"/>
    <w:rsid w:val="00F02DFE"/>
    <w:rsid w:val="00F05AB0"/>
    <w:rsid w:val="00F0760F"/>
    <w:rsid w:val="00F33D13"/>
    <w:rsid w:val="00F47D8B"/>
    <w:rsid w:val="00F627D0"/>
    <w:rsid w:val="00F841B6"/>
    <w:rsid w:val="00F92EA1"/>
    <w:rsid w:val="01041DE1"/>
    <w:rsid w:val="019326FC"/>
    <w:rsid w:val="03791589"/>
    <w:rsid w:val="038A1F16"/>
    <w:rsid w:val="04621AE7"/>
    <w:rsid w:val="04A37BF0"/>
    <w:rsid w:val="04EA2E17"/>
    <w:rsid w:val="0666580E"/>
    <w:rsid w:val="0A1469F1"/>
    <w:rsid w:val="0A173D8A"/>
    <w:rsid w:val="0B832C7E"/>
    <w:rsid w:val="0C9F335A"/>
    <w:rsid w:val="0CC05689"/>
    <w:rsid w:val="0CD5224C"/>
    <w:rsid w:val="0D483858"/>
    <w:rsid w:val="0D85581D"/>
    <w:rsid w:val="0D8B5CFF"/>
    <w:rsid w:val="0DA306EE"/>
    <w:rsid w:val="10361382"/>
    <w:rsid w:val="110171B2"/>
    <w:rsid w:val="117E69F3"/>
    <w:rsid w:val="11A6405B"/>
    <w:rsid w:val="13392934"/>
    <w:rsid w:val="146F6048"/>
    <w:rsid w:val="14E836E8"/>
    <w:rsid w:val="156408BB"/>
    <w:rsid w:val="15BE553B"/>
    <w:rsid w:val="16A3322F"/>
    <w:rsid w:val="17074B03"/>
    <w:rsid w:val="17855067"/>
    <w:rsid w:val="17CD5A7B"/>
    <w:rsid w:val="187A66B9"/>
    <w:rsid w:val="18991B4E"/>
    <w:rsid w:val="1AA967FF"/>
    <w:rsid w:val="1B2978D6"/>
    <w:rsid w:val="20CF4C51"/>
    <w:rsid w:val="20F63843"/>
    <w:rsid w:val="21884E0F"/>
    <w:rsid w:val="21A53892"/>
    <w:rsid w:val="22332BD6"/>
    <w:rsid w:val="25153F64"/>
    <w:rsid w:val="2A732A24"/>
    <w:rsid w:val="2C1A3B68"/>
    <w:rsid w:val="303A765E"/>
    <w:rsid w:val="30544136"/>
    <w:rsid w:val="311D5EAF"/>
    <w:rsid w:val="32810083"/>
    <w:rsid w:val="32A62B33"/>
    <w:rsid w:val="346967B2"/>
    <w:rsid w:val="347B64AA"/>
    <w:rsid w:val="34E40284"/>
    <w:rsid w:val="36F84B57"/>
    <w:rsid w:val="38682C39"/>
    <w:rsid w:val="38FC32F5"/>
    <w:rsid w:val="39030A9D"/>
    <w:rsid w:val="398F777C"/>
    <w:rsid w:val="3ADB192E"/>
    <w:rsid w:val="3C5F47CA"/>
    <w:rsid w:val="3C7A1448"/>
    <w:rsid w:val="3D4C5BA8"/>
    <w:rsid w:val="3DBE5F2E"/>
    <w:rsid w:val="3ECD0998"/>
    <w:rsid w:val="3ED508CA"/>
    <w:rsid w:val="3F4B4F44"/>
    <w:rsid w:val="3FA42170"/>
    <w:rsid w:val="3FAF36DB"/>
    <w:rsid w:val="3FDA3B33"/>
    <w:rsid w:val="403726B3"/>
    <w:rsid w:val="406A14B3"/>
    <w:rsid w:val="428A7759"/>
    <w:rsid w:val="42A012DD"/>
    <w:rsid w:val="43146FF6"/>
    <w:rsid w:val="4599227F"/>
    <w:rsid w:val="46182275"/>
    <w:rsid w:val="46FE4C6E"/>
    <w:rsid w:val="47C04462"/>
    <w:rsid w:val="499D41C3"/>
    <w:rsid w:val="4D7164BA"/>
    <w:rsid w:val="51D51D50"/>
    <w:rsid w:val="528B1069"/>
    <w:rsid w:val="52996503"/>
    <w:rsid w:val="530214BD"/>
    <w:rsid w:val="532E73C1"/>
    <w:rsid w:val="534B54F9"/>
    <w:rsid w:val="53507E24"/>
    <w:rsid w:val="53D170F4"/>
    <w:rsid w:val="558621F3"/>
    <w:rsid w:val="56581D59"/>
    <w:rsid w:val="5A2F5AF5"/>
    <w:rsid w:val="5A5E13CF"/>
    <w:rsid w:val="5AFF7905"/>
    <w:rsid w:val="5B492C91"/>
    <w:rsid w:val="5B9B13DC"/>
    <w:rsid w:val="5BBD7867"/>
    <w:rsid w:val="5D525B04"/>
    <w:rsid w:val="5E311463"/>
    <w:rsid w:val="5EC55E0B"/>
    <w:rsid w:val="5EF53A2C"/>
    <w:rsid w:val="5F600D4E"/>
    <w:rsid w:val="5F9A6CAD"/>
    <w:rsid w:val="61250DED"/>
    <w:rsid w:val="6226148A"/>
    <w:rsid w:val="660E4242"/>
    <w:rsid w:val="66740347"/>
    <w:rsid w:val="677038E2"/>
    <w:rsid w:val="67B33813"/>
    <w:rsid w:val="68D167A9"/>
    <w:rsid w:val="69293200"/>
    <w:rsid w:val="694347AF"/>
    <w:rsid w:val="694F06EB"/>
    <w:rsid w:val="6AB95515"/>
    <w:rsid w:val="6B7F32AD"/>
    <w:rsid w:val="6BE35659"/>
    <w:rsid w:val="6C383767"/>
    <w:rsid w:val="6D0754FE"/>
    <w:rsid w:val="6E302275"/>
    <w:rsid w:val="701117D9"/>
    <w:rsid w:val="71C00C42"/>
    <w:rsid w:val="71EC5D47"/>
    <w:rsid w:val="72627969"/>
    <w:rsid w:val="732872C5"/>
    <w:rsid w:val="739D7BC9"/>
    <w:rsid w:val="748700BD"/>
    <w:rsid w:val="75360E0B"/>
    <w:rsid w:val="79C61A14"/>
    <w:rsid w:val="7A7F0F0D"/>
    <w:rsid w:val="7A806935"/>
    <w:rsid w:val="7ACA607B"/>
    <w:rsid w:val="7B8F68A7"/>
    <w:rsid w:val="7BFC23F6"/>
    <w:rsid w:val="7D576CBE"/>
    <w:rsid w:val="7E886BD8"/>
    <w:rsid w:val="7EFA0C1D"/>
    <w:rsid w:val="7F7A668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qFormat/>
    <w:uiPriority w:val="99"/>
    <w:pPr>
      <w:jc w:val="left"/>
    </w:p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List"/>
    <w:basedOn w:val="1"/>
    <w:qFormat/>
    <w:uiPriority w:val="0"/>
    <w:pPr>
      <w:ind w:left="568" w:hanging="284"/>
    </w:pPr>
  </w:style>
  <w:style w:type="paragraph" w:styleId="6">
    <w:name w:val="annotation subject"/>
    <w:basedOn w:val="2"/>
    <w:next w:val="2"/>
    <w:link w:val="21"/>
    <w:semiHidden/>
    <w:unhideWhenUsed/>
    <w:qFormat/>
    <w:uiPriority w:val="99"/>
    <w:rPr>
      <w:b/>
      <w:bCs/>
    </w:rPr>
  </w:style>
  <w:style w:type="table" w:styleId="8">
    <w:name w:val="Table Grid"/>
    <w:basedOn w:val="7"/>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qFormat/>
    <w:uiPriority w:val="20"/>
    <w:rPr>
      <w:i/>
      <w:iCs/>
    </w:rPr>
  </w:style>
  <w:style w:type="character" w:styleId="11">
    <w:name w:val="Hyperlink"/>
    <w:qFormat/>
    <w:uiPriority w:val="99"/>
    <w:rPr>
      <w:color w:val="0000FF"/>
      <w:u w:val="single"/>
    </w:rPr>
  </w:style>
  <w:style w:type="character" w:styleId="12">
    <w:name w:val="annotation reference"/>
    <w:basedOn w:val="9"/>
    <w:qFormat/>
    <w:uiPriority w:val="0"/>
    <w:rPr>
      <w:sz w:val="21"/>
      <w:szCs w:val="21"/>
    </w:rPr>
  </w:style>
  <w:style w:type="character" w:customStyle="1" w:styleId="13">
    <w:name w:val="页眉 字符"/>
    <w:basedOn w:val="9"/>
    <w:link w:val="4"/>
    <w:qFormat/>
    <w:uiPriority w:val="99"/>
    <w:rPr>
      <w:sz w:val="18"/>
      <w:szCs w:val="18"/>
    </w:rPr>
  </w:style>
  <w:style w:type="character" w:customStyle="1" w:styleId="14">
    <w:name w:val="页脚 字符"/>
    <w:basedOn w:val="9"/>
    <w:link w:val="3"/>
    <w:qFormat/>
    <w:uiPriority w:val="99"/>
    <w:rPr>
      <w:sz w:val="18"/>
      <w:szCs w:val="18"/>
    </w:rPr>
  </w:style>
  <w:style w:type="paragraph" w:customStyle="1" w:styleId="15">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6">
    <w:name w:val="TF"/>
    <w:basedOn w:val="15"/>
    <w:qFormat/>
    <w:uiPriority w:val="0"/>
    <w:pPr>
      <w:keepNext w:val="0"/>
      <w:spacing w:before="0" w:after="240"/>
    </w:pPr>
  </w:style>
  <w:style w:type="paragraph" w:styleId="17">
    <w:name w:val="List Paragraph"/>
    <w:basedOn w:val="1"/>
    <w:qFormat/>
    <w:uiPriority w:val="34"/>
    <w:pPr>
      <w:ind w:firstLine="420" w:firstLineChars="200"/>
    </w:pPr>
  </w:style>
  <w:style w:type="paragraph" w:customStyle="1" w:styleId="18">
    <w:name w:val="B1"/>
    <w:basedOn w:val="5"/>
    <w:qFormat/>
    <w:uiPriority w:val="0"/>
  </w:style>
  <w:style w:type="paragraph" w:customStyle="1" w:styleId="19">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批注文字 字符"/>
    <w:basedOn w:val="9"/>
    <w:link w:val="2"/>
    <w:qFormat/>
    <w:uiPriority w:val="99"/>
    <w:rPr>
      <w:rFonts w:asciiTheme="minorHAnsi" w:hAnsiTheme="minorHAnsi" w:eastAsiaTheme="minorEastAsia" w:cstheme="minorBidi"/>
      <w:kern w:val="2"/>
      <w:sz w:val="21"/>
      <w:szCs w:val="22"/>
    </w:rPr>
  </w:style>
  <w:style w:type="character" w:customStyle="1" w:styleId="21">
    <w:name w:val="批注主题 字符"/>
    <w:basedOn w:val="20"/>
    <w:link w:val="6"/>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1166</Words>
  <Characters>6650</Characters>
  <Lines>55</Lines>
  <Paragraphs>15</Paragraphs>
  <TotalTime>6</TotalTime>
  <ScaleCrop>false</ScaleCrop>
  <LinksUpToDate>false</LinksUpToDate>
  <CharactersWithSpaces>7801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2022-08-09T15:05:00Z</dcterms:created>
  <dc:creator>CMCC_TJY</dc:creator>
  <cp:lastModifiedBy>cmcc</cp:lastModifiedBy>
  <dcterms:modified xsi:type="dcterms:W3CDTF">2022-08-10T07:30:32Z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AD31D77F4447435CAAB6586FD696A7D2</vt:lpwstr>
  </property>
</Properties>
</file>